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0" w:rsidRPr="00976FA0" w:rsidRDefault="00976FA0" w:rsidP="00976FA0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976FA0" w:rsidRPr="00976FA0" w:rsidRDefault="00976FA0" w:rsidP="00976FA0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3802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Директор ООО МКК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6FA0">
        <w:rPr>
          <w:rFonts w:ascii="Times New Roman" w:eastAsia="Calibri" w:hAnsi="Times New Roman" w:cs="Times New Roman"/>
          <w:sz w:val="24"/>
          <w:szCs w:val="24"/>
        </w:rPr>
        <w:t>«ЛИДЕР-КИЗЕЛ»</w:t>
      </w:r>
    </w:p>
    <w:p w:rsidR="00976FA0" w:rsidRPr="00976FA0" w:rsidRDefault="00976FA0" w:rsidP="00976FA0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Мовчан Лилия </w:t>
      </w:r>
      <w:proofErr w:type="spellStart"/>
      <w:r w:rsidRPr="00976FA0">
        <w:rPr>
          <w:rFonts w:ascii="Times New Roman" w:eastAsia="Calibri" w:hAnsi="Times New Roman" w:cs="Times New Roman"/>
          <w:sz w:val="24"/>
          <w:szCs w:val="24"/>
        </w:rPr>
        <w:t>Мухарамовна</w:t>
      </w:r>
      <w:proofErr w:type="spellEnd"/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76FA0" w:rsidRPr="00976FA0" w:rsidRDefault="00976FA0" w:rsidP="00976FA0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76FA0" w:rsidRPr="00976FA0" w:rsidRDefault="00976FA0" w:rsidP="00976FA0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6F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6FA0">
        <w:rPr>
          <w:rFonts w:ascii="Times New Roman" w:eastAsia="Calibri" w:hAnsi="Times New Roman" w:cs="Times New Roman"/>
          <w:sz w:val="24"/>
          <w:szCs w:val="24"/>
        </w:rPr>
        <w:t>« 10» января  2024 года</w:t>
      </w:r>
    </w:p>
    <w:p w:rsid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6FA0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И РЕКОМЕНДАЦИИ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6FA0">
        <w:rPr>
          <w:rFonts w:ascii="Times New Roman" w:hAnsi="Times New Roman" w:cs="Times New Roman"/>
          <w:b/>
          <w:bCs/>
          <w:iCs/>
          <w:sz w:val="28"/>
          <w:szCs w:val="28"/>
        </w:rPr>
        <w:t>ДЛЯ ПОДАЧИ ОБРАЩЕНИЙ И ЗАЯВЛЕНИЯ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6F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РЕСТРУКТУРИЗАЦИИ ЗАДОЛЖЕННОСТИ </w:t>
      </w:r>
      <w:proofErr w:type="gramStart"/>
      <w:r w:rsidRPr="00976FA0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proofErr w:type="gramEnd"/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976FA0">
        <w:rPr>
          <w:rFonts w:ascii="Times New Roman" w:hAnsi="Times New Roman" w:cs="Times New Roman"/>
          <w:b/>
          <w:bCs/>
          <w:iCs/>
          <w:sz w:val="28"/>
          <w:szCs w:val="28"/>
        </w:rPr>
        <w:t>МИКРОФИНАНСОВУЮ ОРГАНИЗАЦИЮ</w:t>
      </w:r>
    </w:p>
    <w:p w:rsidR="00976FA0" w:rsidRDefault="00976FA0" w:rsidP="00976F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 w:rsidR="00976FA0" w:rsidRPr="00976FA0">
        <w:rPr>
          <w:rFonts w:ascii="TimesNewRomanPSMT" w:hAnsi="TimesNewRomanPSMT" w:cs="TimesNewRomanPSMT"/>
          <w:sz w:val="24"/>
          <w:szCs w:val="24"/>
        </w:rPr>
        <w:t>Микрофинансовая</w:t>
      </w:r>
      <w:proofErr w:type="spellEnd"/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 организация обязана отвечать на каждое полученное ею обращение, за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исключением следующих случаев не представления документов, подтверждающих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полномочия представителя на осуществление действий от имени получателя финансовой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услуги. Документами, подтверждающими полномочия на осуществление действий от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имени получателя финансовой услуги, являются:</w:t>
      </w:r>
    </w:p>
    <w:p w:rsidR="00E93F8B" w:rsidRDefault="00E93F8B" w:rsidP="00E93F8B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sz w:val="24"/>
          <w:szCs w:val="24"/>
        </w:rPr>
      </w:pP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SymbolMT" w:hAnsi="SymbolMT" w:cs="SymbolMT"/>
          <w:sz w:val="24"/>
          <w:szCs w:val="24"/>
        </w:rPr>
        <w:t xml:space="preserve">• </w:t>
      </w:r>
      <w:r w:rsidRPr="00976FA0">
        <w:rPr>
          <w:rFonts w:ascii="TimesNewRomanPSMT" w:hAnsi="TimesNewRomanPSMT" w:cs="TimesNewRomanPSMT"/>
          <w:sz w:val="24"/>
          <w:szCs w:val="24"/>
        </w:rPr>
        <w:t>для физических лиц: простая письменная доверенность (если иная форма не</w:t>
      </w:r>
      <w:proofErr w:type="gramEnd"/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предусмотрена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договором об оказании финансовой услуги), решение суда о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признании лица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недееспособным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(ограниченным в дееспособности) и нотариально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заверенная копия решения органа опеки и попечительства о назначении лица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опекуном (попечителем);</w:t>
      </w:r>
    </w:p>
    <w:p w:rsidR="00E93F8B" w:rsidRDefault="00E93F8B" w:rsidP="00E93F8B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sz w:val="24"/>
          <w:szCs w:val="24"/>
        </w:rPr>
      </w:pP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SymbolMT" w:hAnsi="SymbolMT" w:cs="SymbolMT"/>
          <w:sz w:val="24"/>
          <w:szCs w:val="24"/>
        </w:rPr>
        <w:t xml:space="preserve">• </w:t>
      </w:r>
      <w:r w:rsidRPr="00976FA0">
        <w:rPr>
          <w:rFonts w:ascii="TimesNewRomanPSMT" w:hAnsi="TimesNewRomanPSMT" w:cs="TimesNewRomanPSMT"/>
          <w:sz w:val="24"/>
          <w:szCs w:val="24"/>
        </w:rPr>
        <w:t xml:space="preserve">для юридических лиц: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оформленная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в соответствии с законодательством Российской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Федерации доверенность, заверенная печатью получателя финансовой услуги (при</w:t>
      </w:r>
      <w:proofErr w:type="gramEnd"/>
    </w:p>
    <w:p w:rsidR="00E93F8B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условии ее наличия согласно учредительным документам) и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подписанная</w:t>
      </w:r>
      <w:proofErr w:type="gramEnd"/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руководителем получателя финансовой услуги.</w:t>
      </w:r>
    </w:p>
    <w:p w:rsidR="00E93F8B" w:rsidRDefault="00E93F8B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2. В случае подачи обращения в электронном виде, обращение и приложенные к нему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документы должны быть подписаны простой электронной подписью или иным видом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электронной подписи, определенным в договоре между получателем финансовой услуги и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976FA0"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 организацией. При этом использование личного кабинета получателя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финансовой услуги в соответствующей </w:t>
      </w:r>
      <w:proofErr w:type="spellStart"/>
      <w:r w:rsidR="00976FA0"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 организации признается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надлежащим способом обмена сообщениями между получателем финансовой услуги и</w:t>
      </w:r>
      <w:r w:rsidR="00E93F8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976FA0"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 организацией.</w:t>
      </w:r>
    </w:p>
    <w:p w:rsid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3. </w:t>
      </w:r>
      <w:r w:rsidR="00976FA0"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содержанию обращения:</w:t>
      </w:r>
    </w:p>
    <w:p w:rsidR="00E56CA0" w:rsidRDefault="00E56C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3.1. Требование: Обращение получателя финансовой услуги должно содержать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отношении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получателя финансовой услуги, являющегося физическим лицом,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фамилию, имя, отчество (при наличии), адрес (почтовый или электронный)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направления ответа на обращение; в отношении получателя финансовой услуги,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являющегося юридическим лицом, полное наименование и место нахождения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юридического лица, а также подпись уполномоченного представителя юридического</w:t>
      </w: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лица.</w:t>
      </w:r>
    </w:p>
    <w:p w:rsid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A78F3" w:rsidRDefault="00AA78F3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4. </w:t>
      </w:r>
      <w:r w:rsidR="00976FA0"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Рекомендации по включению в обращение следующей информации и документов</w:t>
      </w:r>
      <w:r w:rsidR="00E56C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76FA0"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(при их наличии):</w:t>
      </w:r>
    </w:p>
    <w:p w:rsidR="00E56CA0" w:rsidRDefault="00E56C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E93F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4.1.номер договора, заключенного между получателем финансовой услуги 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организацией;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4.2.изложение существа требований и фактических обстоятельств, на которых основаны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заявленные требования, а также доказательства, подтверждающие эти обстоятельства;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4.3.наименование органа, должности, фамилии, имени и отчества (при наличии)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работника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организации, действия (бездействие) которого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обжалуются;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4.4.иные сведения, которые получатель финансовой услуги считает необходимым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сообщить;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4.5.копии документов, подтверждающих изложенные в обращении обстоятельства. В этом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случае в обращении приводится перечень прилагаемых к нему документов.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5. В случае возникновения просроченной задолженности по договору потребительского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займа получатель финансовой услуги (его правопреемник, представитель) вправе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обратиться в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микрофинансовую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организацию с заявлением о реструктуризации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задолженности.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6. В случае получения заявления о реструктуризации задолженности, возникшей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договору потребительского займа,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микрофинансовая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организация обязана рассмотреть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такое заявление и проанализировать приведенные в заявлении факты, а также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подтверждающие такие факты документы в порядке, установленном настоящей статьей.</w:t>
      </w:r>
    </w:p>
    <w:p w:rsid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7. </w:t>
      </w:r>
      <w:proofErr w:type="spellStart"/>
      <w:r w:rsidR="00976FA0"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Микрофинансовая</w:t>
      </w:r>
      <w:proofErr w:type="spellEnd"/>
      <w:r w:rsidR="00976FA0"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организация рассматривает вопрос о возможности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реструктуризации задолженности получателя финансовой услуги </w:t>
      </w:r>
      <w:proofErr w:type="gramStart"/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перед</w:t>
      </w:r>
      <w:proofErr w:type="gramEnd"/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микрофинансовой</w:t>
      </w:r>
      <w:proofErr w:type="spellEnd"/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организацией по договору потребительского займа в следующих</w:t>
      </w:r>
      <w:r w:rsidR="00E56C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случаях, наступивших после получения получателем финансовой услуги суммы</w:t>
      </w:r>
      <w:r w:rsidR="00E56C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76FA0">
        <w:rPr>
          <w:rFonts w:ascii="TimesNewRomanPS-BoldMT" w:hAnsi="TimesNewRomanPS-BoldMT" w:cs="TimesNewRomanPS-BoldMT"/>
          <w:b/>
          <w:bCs/>
          <w:sz w:val="24"/>
          <w:szCs w:val="24"/>
        </w:rPr>
        <w:t>потребительского займа: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7.1.смерть получателя финансовой услуги;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7.2.несчастный случай, повлекший причинение тяжкого вреда здоровью получателя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финансовой услуги или его близких родственников;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56C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7.3.присвоение получателю финансовой услуги инвалидности 1-2 группы после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заключения договора об оказании финансовой услуги;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7.4.тяжелое заболевание получателя финансовой услуги, длящееся не менее 21 (двадцати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одного) календарного дня со сроком реабилитации свыше 14 (четырнадцати)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календарных дней;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7.5.вынесение судом решения о признании получателя финансовой услуги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недееспособным или ограниченным в дееспособности;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7.6.единовременная утрата имущества на сумму свыше 500 000 (пятисот тысяч) рублей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получателем финансовой услуги по договору потребительского займа;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7.7.потеря работы или иного источника дохода получателем финансовой услуги в течение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срока действия договора займа с последующей невозможностью трудоустройства в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течение 3 (трех) месяцев и более в случае, если получатель финансовой услуги имеет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 xml:space="preserve">несовершеннолетних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детей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либо семья получателя финансовой услуги в соответствии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с законодательством Российской Федерации относится к категории неполных;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7.8.обретение получателем финансовой услуги статуса единственного кормильца в семье;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7.9.призыв получателя финансовой услуги в Вооруженные силы Российской Федерации;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7.10. вступление в законную силу приговора суда в отношении получателя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финансовой</w:t>
      </w:r>
      <w:proofErr w:type="gramEnd"/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услуги, устанавливающего наказание в виде лишения свободы;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7.11. произошедшее не по воле получателя финансовой услуги существенное ухудшение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76FA0">
        <w:rPr>
          <w:rFonts w:ascii="TimesNewRomanPSMT" w:hAnsi="TimesNewRomanPSMT" w:cs="TimesNewRomanPSMT"/>
          <w:sz w:val="24"/>
          <w:szCs w:val="24"/>
        </w:rPr>
        <w:t>финансового положения, не связанное с указанными выше случаями, однако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способное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существенно повлиять на размер дохода получателя финансовой услуги 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(или) его способность исполнять обязательства по договору об оказании </w:t>
      </w: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финансовой</w:t>
      </w:r>
      <w:proofErr w:type="gramEnd"/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услуги.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8. Факты, которые указаны в заявлении о реструктуризации требуют подтверждения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документами, выданными государственными органами или уполномоченными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организациями, если иное решение не принято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организацией.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Микрофинансовая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организация вправе также запросить недостающие документы у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получателя финансовой услуги в случае, если заявление о реструктуризации было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направлено без указанных документов и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организацией не принято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решение о рассмотрении заявления о реструктуризации без представления документов.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76FA0" w:rsidRPr="00976FA0" w:rsidRDefault="00AA78F3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9. В случае возникновения у </w:t>
      </w:r>
      <w:proofErr w:type="spellStart"/>
      <w:r w:rsidR="00976FA0" w:rsidRPr="00976FA0">
        <w:rPr>
          <w:rFonts w:ascii="TimesNewRomanPSMT" w:hAnsi="TimesNewRomanPSMT" w:cs="TimesNewRomanPSMT"/>
          <w:sz w:val="24"/>
          <w:szCs w:val="24"/>
        </w:rPr>
        <w:t>микрофинансовой</w:t>
      </w:r>
      <w:proofErr w:type="spellEnd"/>
      <w:r w:rsidR="00976FA0" w:rsidRPr="00976FA0">
        <w:rPr>
          <w:rFonts w:ascii="TimesNewRomanPSMT" w:hAnsi="TimesNewRomanPSMT" w:cs="TimesNewRomanPSMT"/>
          <w:sz w:val="24"/>
          <w:szCs w:val="24"/>
        </w:rPr>
        <w:t xml:space="preserve"> организации сомнений относительно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подлинности подписи на обращении получателя финансовой услуги или полномочий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 xml:space="preserve">представителя получателя финансовой услуги, </w:t>
      </w:r>
      <w:proofErr w:type="spellStart"/>
      <w:r w:rsidRPr="00976FA0">
        <w:rPr>
          <w:rFonts w:ascii="TimesNewRomanPSMT" w:hAnsi="TimesNewRomanPSMT" w:cs="TimesNewRomanPSMT"/>
          <w:sz w:val="24"/>
          <w:szCs w:val="24"/>
        </w:rPr>
        <w:t>микрофинансовая</w:t>
      </w:r>
      <w:proofErr w:type="spellEnd"/>
      <w:r w:rsidRPr="00976FA0">
        <w:rPr>
          <w:rFonts w:ascii="TimesNewRomanPSMT" w:hAnsi="TimesNewRomanPSMT" w:cs="TimesNewRomanPSMT"/>
          <w:sz w:val="24"/>
          <w:szCs w:val="24"/>
        </w:rPr>
        <w:t xml:space="preserve"> организация обязана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76FA0">
        <w:rPr>
          <w:rFonts w:ascii="TimesNewRomanPSMT" w:hAnsi="TimesNewRomanPSMT" w:cs="TimesNewRomanPSMT"/>
          <w:sz w:val="24"/>
          <w:szCs w:val="24"/>
        </w:rPr>
        <w:t>проинформировать получателя финансовой услуги о риске получения информации о</w:t>
      </w:r>
    </w:p>
    <w:p w:rsidR="00976FA0" w:rsidRPr="00976FA0" w:rsidRDefault="00976F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976FA0">
        <w:rPr>
          <w:rFonts w:ascii="TimesNewRomanPSMT" w:hAnsi="TimesNewRomanPSMT" w:cs="TimesNewRomanPSMT"/>
          <w:sz w:val="24"/>
          <w:szCs w:val="24"/>
        </w:rPr>
        <w:t>получателе</w:t>
      </w:r>
      <w:proofErr w:type="gramEnd"/>
      <w:r w:rsidRPr="00976FA0">
        <w:rPr>
          <w:rFonts w:ascii="TimesNewRomanPSMT" w:hAnsi="TimesNewRomanPSMT" w:cs="TimesNewRomanPSMT"/>
          <w:sz w:val="24"/>
          <w:szCs w:val="24"/>
        </w:rPr>
        <w:t xml:space="preserve"> финансовой услуги неуполномоченным лицом.</w:t>
      </w:r>
    </w:p>
    <w:p w:rsidR="00E56CA0" w:rsidRDefault="00E56CA0" w:rsidP="00976F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F4398" w:rsidRPr="00E56CA0" w:rsidRDefault="00AA78F3" w:rsidP="00E56C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10. Обращение, в котором обжалуется судебное решение, возвращается лицу, направившему</w:t>
      </w:r>
      <w:r w:rsidR="00E56CA0">
        <w:rPr>
          <w:rFonts w:ascii="TimesNewRomanPSMT" w:hAnsi="TimesNewRomanPSMT" w:cs="TimesNewRomanPSMT"/>
          <w:sz w:val="24"/>
          <w:szCs w:val="24"/>
        </w:rPr>
        <w:t xml:space="preserve"> </w:t>
      </w:r>
      <w:r w:rsidR="00976FA0" w:rsidRPr="00976FA0">
        <w:rPr>
          <w:rFonts w:ascii="TimesNewRomanPSMT" w:hAnsi="TimesNewRomanPSMT" w:cs="TimesNewRomanPSMT"/>
          <w:sz w:val="24"/>
          <w:szCs w:val="24"/>
        </w:rPr>
        <w:t>обращение, с указанием на судебный порядок обжалования данного судебного решения</w:t>
      </w:r>
    </w:p>
    <w:sectPr w:rsidR="00DF4398" w:rsidRPr="00E56CA0" w:rsidSect="00976F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A0"/>
    <w:rsid w:val="003802D5"/>
    <w:rsid w:val="00976FA0"/>
    <w:rsid w:val="00AA78F3"/>
    <w:rsid w:val="00B21E23"/>
    <w:rsid w:val="00DF4398"/>
    <w:rsid w:val="00E56CA0"/>
    <w:rsid w:val="00E9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Lider</cp:lastModifiedBy>
  <cp:revision>4</cp:revision>
  <dcterms:created xsi:type="dcterms:W3CDTF">2024-07-05T09:56:00Z</dcterms:created>
  <dcterms:modified xsi:type="dcterms:W3CDTF">2024-07-05T11:01:00Z</dcterms:modified>
</cp:coreProperties>
</file>